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2D385" w14:textId="06C2EF0E" w:rsidR="008B6421" w:rsidRPr="006233FA" w:rsidRDefault="008B6421" w:rsidP="008B6421">
      <w:pPr>
        <w:spacing w:after="0"/>
        <w:ind w:firstLine="709"/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6233FA">
        <w:rPr>
          <w:rFonts w:ascii="Times New Roman" w:hAnsi="Times New Roman" w:cs="Times New Roman"/>
          <w:sz w:val="36"/>
          <w:szCs w:val="36"/>
          <w:lang w:val="kk-KZ"/>
        </w:rPr>
        <w:t xml:space="preserve">Дәріс 6. </w:t>
      </w:r>
      <w:r w:rsidR="006233FA" w:rsidRPr="006233FA">
        <w:rPr>
          <w:rFonts w:ascii="Times New Roman" w:eastAsia="Cambria" w:hAnsi="Times New Roman" w:cs="Times New Roman"/>
          <w:sz w:val="36"/>
          <w:szCs w:val="36"/>
          <w:lang w:val="kk-KZ"/>
        </w:rPr>
        <w:t>Мемлекеттік тапсырысты қалыптастыру элементтері.</w:t>
      </w:r>
    </w:p>
    <w:p w14:paraId="43A95B13" w14:textId="77777777" w:rsidR="008B6421" w:rsidRPr="006233FA" w:rsidRDefault="008B6421" w:rsidP="008B6421">
      <w:pPr>
        <w:spacing w:after="0"/>
        <w:ind w:firstLine="709"/>
        <w:jc w:val="both"/>
        <w:rPr>
          <w:rFonts w:ascii="Times New Roman" w:hAnsi="Times New Roman" w:cs="Times New Roman"/>
          <w:sz w:val="36"/>
          <w:szCs w:val="36"/>
          <w:lang w:val="kk-KZ"/>
        </w:rPr>
      </w:pPr>
    </w:p>
    <w:p w14:paraId="5317C5DD" w14:textId="77777777" w:rsidR="008B6421" w:rsidRPr="006233FA" w:rsidRDefault="008B6421" w:rsidP="008B6421">
      <w:pPr>
        <w:spacing w:after="0"/>
        <w:ind w:firstLine="709"/>
        <w:jc w:val="both"/>
        <w:rPr>
          <w:rFonts w:ascii="Times New Roman" w:hAnsi="Times New Roman" w:cs="Times New Roman"/>
          <w:sz w:val="36"/>
          <w:szCs w:val="36"/>
          <w:lang w:val="kk-KZ"/>
        </w:rPr>
      </w:pPr>
    </w:p>
    <w:p w14:paraId="520E8095" w14:textId="77777777" w:rsidR="008B6421" w:rsidRPr="006233FA" w:rsidRDefault="008B6421" w:rsidP="008B6421">
      <w:pPr>
        <w:spacing w:after="0"/>
        <w:ind w:firstLine="709"/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6233FA">
        <w:rPr>
          <w:rFonts w:ascii="Times New Roman" w:hAnsi="Times New Roman" w:cs="Times New Roman"/>
          <w:sz w:val="36"/>
          <w:szCs w:val="36"/>
          <w:lang w:val="kk-KZ"/>
        </w:rPr>
        <w:t>Сұрақтар:</w:t>
      </w:r>
    </w:p>
    <w:p w14:paraId="1167B10B" w14:textId="2AC38571" w:rsidR="008B6421" w:rsidRPr="006233FA" w:rsidRDefault="008B6421" w:rsidP="008B6421">
      <w:pPr>
        <w:spacing w:after="0"/>
        <w:ind w:firstLine="709"/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6233FA">
        <w:rPr>
          <w:rFonts w:ascii="Times New Roman" w:hAnsi="Times New Roman" w:cs="Times New Roman"/>
          <w:sz w:val="36"/>
          <w:szCs w:val="36"/>
          <w:lang w:val="kk-KZ"/>
        </w:rPr>
        <w:t>1.</w:t>
      </w:r>
      <w:r w:rsidR="006233FA" w:rsidRPr="006233FA">
        <w:rPr>
          <w:rFonts w:ascii="Times New Roman" w:eastAsia="Cambria" w:hAnsi="Times New Roman" w:cs="Times New Roman"/>
          <w:sz w:val="36"/>
          <w:szCs w:val="36"/>
          <w:lang w:val="kk-KZ"/>
        </w:rPr>
        <w:t xml:space="preserve"> Мемлекеттік тапсырысты қалыптастыру элементтері.</w:t>
      </w:r>
    </w:p>
    <w:p w14:paraId="51FFAF76" w14:textId="403C1468" w:rsidR="008B6421" w:rsidRPr="006233FA" w:rsidRDefault="008B6421" w:rsidP="008B6421">
      <w:pPr>
        <w:spacing w:after="0"/>
        <w:ind w:firstLine="709"/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6233FA">
        <w:rPr>
          <w:rFonts w:ascii="Times New Roman" w:hAnsi="Times New Roman" w:cs="Times New Roman"/>
          <w:sz w:val="36"/>
          <w:szCs w:val="36"/>
          <w:lang w:val="kk-KZ"/>
        </w:rPr>
        <w:t>2.</w:t>
      </w:r>
      <w:r w:rsidR="006233FA" w:rsidRPr="006233FA">
        <w:rPr>
          <w:rFonts w:ascii="Times New Roman" w:eastAsia="Cambria" w:hAnsi="Times New Roman" w:cs="Times New Roman"/>
          <w:sz w:val="36"/>
          <w:szCs w:val="36"/>
          <w:lang w:val="kk-KZ"/>
        </w:rPr>
        <w:t xml:space="preserve"> Тапсырысты қалыптастыру элементтерінің жүйесінің ерекшеліктері</w:t>
      </w:r>
    </w:p>
    <w:p w14:paraId="58FB321C" w14:textId="34A525EB" w:rsidR="008B6421" w:rsidRPr="006233FA" w:rsidRDefault="008B6421" w:rsidP="008B6421">
      <w:pPr>
        <w:spacing w:after="0"/>
        <w:ind w:firstLine="709"/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6233FA">
        <w:rPr>
          <w:rFonts w:ascii="Times New Roman" w:hAnsi="Times New Roman" w:cs="Times New Roman"/>
          <w:sz w:val="36"/>
          <w:szCs w:val="36"/>
          <w:lang w:val="kk-KZ"/>
        </w:rPr>
        <w:t xml:space="preserve"> Мақсаты- студенттерге   </w:t>
      </w:r>
      <w:r w:rsidR="006233FA" w:rsidRPr="006233FA">
        <w:rPr>
          <w:rFonts w:ascii="Times New Roman" w:eastAsia="Cambria" w:hAnsi="Times New Roman" w:cs="Times New Roman"/>
          <w:sz w:val="36"/>
          <w:szCs w:val="36"/>
          <w:lang w:val="kk-KZ"/>
        </w:rPr>
        <w:t>Мемлекеттік тапсырысты қалыптастыру элементтері</w:t>
      </w:r>
      <w:r w:rsidR="006233FA">
        <w:rPr>
          <w:rFonts w:ascii="Times New Roman" w:eastAsia="Cambria" w:hAnsi="Times New Roman" w:cs="Times New Roman"/>
          <w:sz w:val="36"/>
          <w:szCs w:val="36"/>
          <w:lang w:val="kk-KZ"/>
        </w:rPr>
        <w:t>нің ерекшеліктерін</w:t>
      </w:r>
      <w:r w:rsidRPr="006233FA">
        <w:rPr>
          <w:rFonts w:ascii="Times New Roman" w:hAnsi="Times New Roman" w:cs="Times New Roman"/>
          <w:sz w:val="36"/>
          <w:szCs w:val="36"/>
          <w:lang w:val="kk-KZ"/>
        </w:rPr>
        <w:t xml:space="preserve">                                                               түсіндіру</w:t>
      </w:r>
    </w:p>
    <w:p w14:paraId="37BE39C2" w14:textId="77777777" w:rsidR="008B6421" w:rsidRDefault="008B6421" w:rsidP="008B642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A8B8369" w14:textId="77777777" w:rsidR="00F330C0" w:rsidRPr="00F330C0" w:rsidRDefault="00F330C0" w:rsidP="00F330C0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kk-KZ" w:eastAsia="ru-RU"/>
        </w:rPr>
      </w:pPr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kk-KZ" w:eastAsia="ru-RU"/>
        </w:rPr>
        <w:t>Орталықтандырылған мемлекеттік сатып алуларды бірыңғай ұйымдастырушылар жүзеге асырады.</w:t>
      </w:r>
    </w:p>
    <w:p w14:paraId="053D55F9" w14:textId="5BC3FA0F" w:rsidR="00F330C0" w:rsidRPr="00F330C0" w:rsidRDefault="00F330C0" w:rsidP="00F330C0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kk-KZ" w:eastAsia="ru-RU"/>
        </w:rPr>
      </w:pPr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kk-KZ" w:eastAsia="ru-RU"/>
        </w:rPr>
        <w:t>      Уәкілетті орган, олар бойынша бірыңғай ұйымдастырушылар мемлекеттік сатып алуды жүзеге асыратын тауарлардың, жұмыстардың, көрсетілетін қызметтердің тізбелерін айқындайды.</w:t>
      </w:r>
    </w:p>
    <w:p w14:paraId="1D17EA7B" w14:textId="42F9B1B5" w:rsidR="00F330C0" w:rsidRPr="00F330C0" w:rsidRDefault="00F330C0" w:rsidP="00F330C0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kk-KZ" w:eastAsia="ru-RU"/>
        </w:rPr>
      </w:pPr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kk-KZ" w:eastAsia="ru-RU"/>
        </w:rPr>
        <w:t>       Мемлекеттік сатып алуды бірыңғай ұйымдастырушы мемлекеттік сатып алуды:</w:t>
      </w:r>
    </w:p>
    <w:p w14:paraId="398B2CED" w14:textId="77777777" w:rsidR="00F330C0" w:rsidRPr="00F330C0" w:rsidRDefault="00F330C0" w:rsidP="00F330C0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kk-KZ" w:eastAsia="ru-RU"/>
        </w:rPr>
      </w:pPr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kk-KZ" w:eastAsia="ru-RU"/>
        </w:rPr>
        <w:t>      1) уәкілетті орган айқындайтын тауарлардың, жұмыстардың, көрсетілетін қызметтердің тізбесі бойынша;</w:t>
      </w:r>
    </w:p>
    <w:p w14:paraId="2B475B70" w14:textId="77777777" w:rsidR="00F330C0" w:rsidRPr="00F330C0" w:rsidRDefault="00F330C0" w:rsidP="00F330C0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kk-KZ" w:eastAsia="ru-RU"/>
        </w:rPr>
      </w:pPr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kk-KZ" w:eastAsia="ru-RU"/>
        </w:rPr>
        <w:t>      2) уәкілетті орган айқындайтын тауарлардың, жұмыстардың, көрсетілетін қызметтердің тізбесі бойынша біртекті тауарларды, жұмыстарды, көрсетілетін қызметтерді беру (орындау, көрсету) орнына қарамастан, бір лотқа біріктіру арқылы.</w:t>
      </w:r>
    </w:p>
    <w:p w14:paraId="6B8B9B45" w14:textId="4066C434" w:rsidR="00F330C0" w:rsidRPr="00F330C0" w:rsidRDefault="00F330C0" w:rsidP="00F330C0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32"/>
          <w:szCs w:val="32"/>
          <w:lang w:val="kk-KZ" w:eastAsia="ru-RU"/>
        </w:rPr>
      </w:pPr>
      <w:r w:rsidRPr="00F330C0">
        <w:rPr>
          <w:rFonts w:ascii="Times New Roman" w:eastAsia="Times New Roman" w:hAnsi="Times New Roman" w:cs="Times New Roman"/>
          <w:color w:val="1E1E1E"/>
          <w:sz w:val="32"/>
          <w:szCs w:val="32"/>
          <w:lang w:val="kk-KZ" w:eastAsia="ru-RU"/>
        </w:rPr>
        <w:t>Әлеуетті өнім берушілерге қойылатын біліктілік талаптары</w:t>
      </w:r>
    </w:p>
    <w:p w14:paraId="65D0A01F" w14:textId="77777777" w:rsidR="00F330C0" w:rsidRPr="00F330C0" w:rsidRDefault="00F330C0" w:rsidP="00F330C0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32"/>
          <w:szCs w:val="32"/>
          <w:lang w:val="kk-KZ" w:eastAsia="ru-RU"/>
        </w:rPr>
      </w:pPr>
      <w:r w:rsidRPr="00F330C0">
        <w:rPr>
          <w:rFonts w:ascii="Times New Roman" w:eastAsia="Times New Roman" w:hAnsi="Times New Roman" w:cs="Times New Roman"/>
          <w:color w:val="1E1E1E"/>
          <w:sz w:val="32"/>
          <w:szCs w:val="32"/>
          <w:lang w:val="kk-KZ" w:eastAsia="ru-RU"/>
        </w:rPr>
        <w:t>1-параграф. Әлеуетті өнім берушілерге қойылатын біліктілік талаптары</w:t>
      </w:r>
    </w:p>
    <w:p w14:paraId="0F9BC16C" w14:textId="2ABA0312" w:rsidR="00F330C0" w:rsidRPr="00F330C0" w:rsidRDefault="00F330C0" w:rsidP="00F330C0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kk-KZ" w:eastAsia="ru-RU"/>
        </w:rPr>
      </w:pPr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kk-KZ" w:eastAsia="ru-RU"/>
        </w:rPr>
        <w:t>      Әлеуетті өнім берушілерге мынадай біліктілік талаптары қойылады:</w:t>
      </w:r>
    </w:p>
    <w:p w14:paraId="6557FEE2" w14:textId="77777777" w:rsidR="00F330C0" w:rsidRPr="00F330C0" w:rsidRDefault="00F330C0" w:rsidP="00F330C0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kk-KZ" w:eastAsia="ru-RU"/>
        </w:rPr>
      </w:pPr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kk-KZ" w:eastAsia="ru-RU"/>
        </w:rPr>
        <w:lastRenderedPageBreak/>
        <w:t>      1) құқық қабілеттілігінің (заңды тұлғалар үшін), азаматтық әрекетке қабілеттілігінің (жеке тұлғалар үшін) болуы;</w:t>
      </w:r>
    </w:p>
    <w:p w14:paraId="7BDA1C35" w14:textId="77777777" w:rsidR="00F330C0" w:rsidRPr="00F330C0" w:rsidRDefault="00F330C0" w:rsidP="00F330C0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kk-KZ" w:eastAsia="ru-RU"/>
        </w:rPr>
      </w:pPr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kk-KZ" w:eastAsia="ru-RU"/>
        </w:rPr>
        <w:t>      2) қаржылық орнықты болуы және тиісті қаржы жылына республикалық бюджет туралы заңда белгіленген айлық есептік көрсеткіштің алты еселенген мөлшерінен асатын салықтық берешегінің болмауы.</w:t>
      </w:r>
    </w:p>
    <w:p w14:paraId="797923F9" w14:textId="77777777" w:rsidR="00F330C0" w:rsidRPr="00F330C0" w:rsidRDefault="00F330C0" w:rsidP="00F330C0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kk-KZ" w:eastAsia="ru-RU"/>
        </w:rPr>
      </w:pPr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kk-KZ" w:eastAsia="ru-RU"/>
        </w:rPr>
        <w:t>      Әлеуетті өнім берушінің қаржылық орнықтылығы оларды осы Қағидаларында айқындалған тәртіппен айқындалады.</w:t>
      </w:r>
    </w:p>
    <w:p w14:paraId="3765F813" w14:textId="77777777" w:rsidR="00F330C0" w:rsidRPr="00F330C0" w:rsidRDefault="00F330C0" w:rsidP="00F330C0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</w:pPr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kk-KZ" w:eastAsia="ru-RU"/>
        </w:rPr>
        <w:t xml:space="preserve">      </w:t>
      </w:r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3)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банкроттық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не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таратылу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рәсіміне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жатқызылмауы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;</w:t>
      </w:r>
    </w:p>
    <w:p w14:paraId="5DEACB0A" w14:textId="77777777" w:rsidR="00F330C0" w:rsidRPr="00F330C0" w:rsidRDefault="00F330C0" w:rsidP="00F330C0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</w:pPr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      4)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мемлекеттік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сатып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алу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туралы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шарт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бойынша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міндеттемелерді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орындау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үшін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жеткілікті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материалдық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,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еңбек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және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қаржы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ресурстарының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болуы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;</w:t>
      </w:r>
    </w:p>
    <w:p w14:paraId="137C2C2E" w14:textId="77777777" w:rsidR="00F330C0" w:rsidRPr="00F330C0" w:rsidRDefault="00F330C0" w:rsidP="00F330C0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</w:pPr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      5)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жұмыс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тәжірибесінің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болуы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(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әлеуетті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өнім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берушіде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лицензияның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және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(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немесе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)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рұқсаттың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болуы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мемлекеттік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сатып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алудың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нысанасы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болып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танылатын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жағдайларды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қоспағанда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).</w:t>
      </w:r>
    </w:p>
    <w:p w14:paraId="1DB7A99E" w14:textId="62D9E3A8" w:rsidR="00F330C0" w:rsidRPr="00F330C0" w:rsidRDefault="00F330C0" w:rsidP="00F330C0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</w:pPr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      Осы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Қаржылық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орнықтылыққа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ие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болу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бөлігінде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2)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тармақшасында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, 4)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және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5)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тармақшаларында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көзделген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біліктілік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талаптары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қосалқы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мердігерлерге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(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бірлесіп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орындаушыларға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)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қолданылмайды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.</w:t>
      </w:r>
    </w:p>
    <w:p w14:paraId="29F2E220" w14:textId="64F4EF8B" w:rsidR="00F330C0" w:rsidRPr="00F330C0" w:rsidRDefault="00F330C0" w:rsidP="00F330C0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</w:pPr>
      <w:r w:rsidRPr="00F330C0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Әлеуетті</w:t>
      </w:r>
      <w:proofErr w:type="spellEnd"/>
      <w:r w:rsidRPr="00F330C0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өнім</w:t>
      </w:r>
      <w:proofErr w:type="spellEnd"/>
      <w:r w:rsidRPr="00F330C0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берушінің</w:t>
      </w:r>
      <w:proofErr w:type="spellEnd"/>
      <w:r w:rsidRPr="00F330C0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құқық</w:t>
      </w:r>
      <w:proofErr w:type="spellEnd"/>
      <w:r w:rsidRPr="00F330C0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қабілеттілігіне</w:t>
      </w:r>
      <w:proofErr w:type="spellEnd"/>
      <w:r w:rsidRPr="00F330C0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ие</w:t>
      </w:r>
      <w:proofErr w:type="spellEnd"/>
      <w:r w:rsidRPr="00F330C0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 xml:space="preserve"> болу </w:t>
      </w:r>
      <w:proofErr w:type="spellStart"/>
      <w:r w:rsidRPr="00F330C0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бөлігінде</w:t>
      </w:r>
      <w:proofErr w:type="spellEnd"/>
      <w:r w:rsidRPr="00F330C0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біліктілік</w:t>
      </w:r>
      <w:proofErr w:type="spellEnd"/>
      <w:r w:rsidRPr="00F330C0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талаптарына</w:t>
      </w:r>
      <w:proofErr w:type="spellEnd"/>
      <w:r w:rsidRPr="00F330C0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сәйкестігін</w:t>
      </w:r>
      <w:proofErr w:type="spellEnd"/>
      <w:r w:rsidRPr="00F330C0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айқындау</w:t>
      </w:r>
      <w:proofErr w:type="spellEnd"/>
      <w:r w:rsidRPr="00F330C0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тәртібі</w:t>
      </w:r>
      <w:proofErr w:type="spellEnd"/>
    </w:p>
    <w:p w14:paraId="65D9A34A" w14:textId="5064F068" w:rsidR="00F330C0" w:rsidRPr="00F330C0" w:rsidRDefault="00F330C0" w:rsidP="00F330C0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</w:pPr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      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Айналысуы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үшін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рұқсат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алу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,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хабарлама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жіберу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қажет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болатын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қызмет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түрлерін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жүзеге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асыратын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әлеуетті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өнім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берушінің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құқық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қабілеттілігі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Қазақстан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Республикасының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ақпараттандыру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туралы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заңнамасына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сәйкес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мемлекеттік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органдардың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ақпараттық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жүйелері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арқылы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расталады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.</w:t>
      </w:r>
    </w:p>
    <w:p w14:paraId="695A3A87" w14:textId="77777777" w:rsidR="00F330C0" w:rsidRPr="00F330C0" w:rsidRDefault="00F330C0" w:rsidP="00F330C0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</w:pPr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     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Мемлекеттік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органдардың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ақпараттық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жүйелерінде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мәліметтер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болмаған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жағдайда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,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әлеуетті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өнім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беруші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Қазақстан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Республикасының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заңнамасына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сәйкес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алынған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(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жіберілген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)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тиісті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рұқсаттың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(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хабарламаның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) нотариат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куәландырған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немесе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электрондық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көшірмесін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ұсынады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.</w:t>
      </w:r>
    </w:p>
    <w:p w14:paraId="7C0224AE" w14:textId="7F538BDC" w:rsidR="00F330C0" w:rsidRPr="00F330C0" w:rsidRDefault="00F330C0" w:rsidP="00F330C0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</w:pPr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lastRenderedPageBreak/>
        <w:t xml:space="preserve">      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Шарт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бойынша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міндеттемелерді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орындау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қажеттігінен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тікелей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туындамайтын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осындай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рұқсатының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(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хабарлама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жіберудің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)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және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(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немесе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)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рұқсат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беру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құжатының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кіші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түрінің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болуы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бойынша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талаптарды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белгілеуге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жол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берілмейді</w:t>
      </w:r>
      <w:proofErr w:type="spellEnd"/>
      <w:r w:rsidRPr="00F330C0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Әлеуетті</w:t>
      </w:r>
      <w:proofErr w:type="spellEnd"/>
      <w:r w:rsidRPr="00F330C0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өнім</w:t>
      </w:r>
      <w:proofErr w:type="spellEnd"/>
      <w:r w:rsidRPr="00F330C0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берушінің</w:t>
      </w:r>
      <w:proofErr w:type="spellEnd"/>
      <w:r w:rsidRPr="00F330C0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қаржылық</w:t>
      </w:r>
      <w:proofErr w:type="spellEnd"/>
      <w:r w:rsidRPr="00F330C0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орнықтылығы</w:t>
      </w:r>
      <w:proofErr w:type="spellEnd"/>
      <w:r w:rsidRPr="00F330C0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түріндегі</w:t>
      </w:r>
      <w:proofErr w:type="spellEnd"/>
      <w:r w:rsidRPr="00F330C0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біліктілік</w:t>
      </w:r>
      <w:proofErr w:type="spellEnd"/>
      <w:r w:rsidRPr="00F330C0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талаптарына</w:t>
      </w:r>
      <w:proofErr w:type="spellEnd"/>
      <w:r w:rsidRPr="00F330C0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сәйкестігін</w:t>
      </w:r>
      <w:proofErr w:type="spellEnd"/>
      <w:r w:rsidRPr="00F330C0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айқындау</w:t>
      </w:r>
      <w:proofErr w:type="spellEnd"/>
      <w:r w:rsidRPr="00F330C0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тәртібі</w:t>
      </w:r>
      <w:proofErr w:type="spellEnd"/>
    </w:p>
    <w:p w14:paraId="79462D1B" w14:textId="3DC2B4DE" w:rsidR="00F330C0" w:rsidRPr="00F330C0" w:rsidRDefault="00F330C0" w:rsidP="00F330C0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</w:pPr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     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Әлеуетті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өнім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берушінің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қаржылық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орнықтылығы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түріндегі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біліктілік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талабы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конкурс (аукцион)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тәсілімен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мемлекеттік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сатып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алуға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қатысатын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әлеуетті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өнім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берушілерге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қойылады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:</w:t>
      </w:r>
    </w:p>
    <w:p w14:paraId="143D556E" w14:textId="77777777" w:rsidR="00F330C0" w:rsidRPr="00F330C0" w:rsidRDefault="00F330C0" w:rsidP="00F330C0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</w:pPr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      1)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егер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тиісті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мемлекеттік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сатып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алудың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(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лоттың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)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бөлінген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сомасы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республикалық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бюджет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туралы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заңда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тиісті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қаржы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жылына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белгіленген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айлық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есептік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көрсеткіштің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төрт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мың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еселенген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мөлшерінен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асатын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болса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,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тауарларды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;</w:t>
      </w:r>
    </w:p>
    <w:p w14:paraId="100310BD" w14:textId="77777777" w:rsidR="00F330C0" w:rsidRPr="00F330C0" w:rsidRDefault="00F330C0" w:rsidP="00F330C0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</w:pPr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      2)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егер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тиісті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мемлекеттік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сатып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алудың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(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лоттың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)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бөлінген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сомасы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республикалық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бюджет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туралы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заңда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тиісті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қаржы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жылына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белгіленген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айлық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есептік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көрсеткіштің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жиырма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мың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еселенген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мөлшерінен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асатын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болса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,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жұмыстарды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;</w:t>
      </w:r>
    </w:p>
    <w:p w14:paraId="60A5E9D7" w14:textId="77777777" w:rsidR="00F330C0" w:rsidRPr="00F330C0" w:rsidRDefault="00F330C0" w:rsidP="00F330C0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</w:pPr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      3)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егер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тиісті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мемлекеттік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сатып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алудың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(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лоттың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)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бөлінген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сомасы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тиісті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қаржы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жылына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арналған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республикалық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бюджет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туралы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заңда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белгіленген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айлық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есептік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көрсеткіштің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сегіз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мың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еселенген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мөлшерінен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асатын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болса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,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көрсетілетін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қызметтерді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сатып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алуға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құқығы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бар.</w:t>
      </w:r>
    </w:p>
    <w:p w14:paraId="5808CC5F" w14:textId="2A9F8A0E" w:rsidR="00F330C0" w:rsidRPr="00F330C0" w:rsidRDefault="00F330C0" w:rsidP="00F330C0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</w:pPr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      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Мемлекеттік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сатып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алу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жүзеге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асырылған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жағдайларда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,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әлеуетті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өнім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берушінің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қаржылық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орнықтылығы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түріндегі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біліктілік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талабы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мемлекеттік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сатып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алудың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(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лоттың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)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бөлінген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сомасына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қарамастан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қойылады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:</w:t>
      </w:r>
    </w:p>
    <w:p w14:paraId="64954E99" w14:textId="77777777" w:rsidR="00F330C0" w:rsidRPr="00F330C0" w:rsidRDefault="00F330C0" w:rsidP="00F330C0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</w:pPr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      1)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техникалық-экономикалық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негіздемені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,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жобалау-сметалық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(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үлгілік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жобалау-сметалық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)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құжаттаманы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және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қала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құрылысы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жобаларын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әзірлеу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жөніндегі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жұмыстарды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;</w:t>
      </w:r>
    </w:p>
    <w:p w14:paraId="4EF5279C" w14:textId="77777777" w:rsidR="00F330C0" w:rsidRPr="00F330C0" w:rsidRDefault="00F330C0" w:rsidP="00F330C0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</w:pPr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      2)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объектілер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құрылысының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жобаларына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ведомстводан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тыс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кешенді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сараптама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жөніндегі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жұмыстарды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;</w:t>
      </w:r>
    </w:p>
    <w:p w14:paraId="2DFD7852" w14:textId="77777777" w:rsidR="00F330C0" w:rsidRPr="00F330C0" w:rsidRDefault="00F330C0" w:rsidP="00F330C0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</w:pPr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lastRenderedPageBreak/>
        <w:t xml:space="preserve">      3)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техникалық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қадағалау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және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(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немесе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)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жобаларды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басқару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жөніндегі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инжинирингтік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қызметтерді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;</w:t>
      </w:r>
    </w:p>
    <w:p w14:paraId="6FFDA3CC" w14:textId="6DF6EBDE" w:rsidR="00F330C0" w:rsidRPr="00F330C0" w:rsidRDefault="00F330C0" w:rsidP="00F330C0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</w:pPr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      4) </w:t>
      </w:r>
      <w:r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kk-KZ" w:eastAsia="ru-RU"/>
        </w:rPr>
        <w:t>С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әйкес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әзірленетін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және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бекітілетін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үлгілік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конкурстық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(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аукциондық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)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құжаттамаларға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сәйкес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мемлекеттік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сатып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алу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жүзеге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асырылатын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тауарларды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,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жұмыстарды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,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көрсетілетін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қызметтерді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сатып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алу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кезінде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жүзеге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асырылады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.</w:t>
      </w:r>
    </w:p>
    <w:p w14:paraId="7081CA48" w14:textId="46E0FE7E" w:rsidR="00F330C0" w:rsidRPr="00F330C0" w:rsidRDefault="00F330C0" w:rsidP="00F330C0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</w:pPr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      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Әлеуетті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өнім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берушінің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қаржылық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орнықтылығы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түріндегі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біліктілік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талабы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Заңның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 </w:t>
      </w:r>
      <w:hyperlink r:id="rId5" w:anchor="z51" w:history="1">
        <w:r w:rsidRPr="00F330C0">
          <w:rPr>
            <w:rFonts w:ascii="Times New Roman" w:eastAsia="Times New Roman" w:hAnsi="Times New Roman" w:cs="Times New Roman"/>
            <w:color w:val="073A5E"/>
            <w:spacing w:val="2"/>
            <w:sz w:val="32"/>
            <w:szCs w:val="32"/>
            <w:u w:val="single"/>
            <w:lang w:eastAsia="ru-RU"/>
          </w:rPr>
          <w:t>51-бабына</w:t>
        </w:r>
      </w:hyperlink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 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сәйкес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мемлекеттік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сатып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алуға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қатысатын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әлеуетті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өнім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берушілерге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,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сондай-ақ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мүгедекті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оңалтудың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жеке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бағдарламасына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сәйкес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мүгедектерді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протездік-ортопедиялық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көмекпен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,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техникалық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көмекші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(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орнын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толтырушы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)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құралдармен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,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арнаулы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жүріп-тұру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құралдарымен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және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Қазақстан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Республикасы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Еңбек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және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халықты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әлеуметтік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қорғау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министрінің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2021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жылғы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27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желтоқсандағы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№ 502 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fldChar w:fldCharType="begin"/>
      </w:r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instrText xml:space="preserve"> HYPERLINK "https://adilet.zan.kz/kaz/docs/V2100026087" \l "z1" </w:instrText>
      </w:r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fldChar w:fldCharType="separate"/>
      </w:r>
      <w:r w:rsidRPr="00F330C0">
        <w:rPr>
          <w:rFonts w:ascii="Times New Roman" w:eastAsia="Times New Roman" w:hAnsi="Times New Roman" w:cs="Times New Roman"/>
          <w:color w:val="073A5E"/>
          <w:spacing w:val="2"/>
          <w:sz w:val="32"/>
          <w:szCs w:val="32"/>
          <w:u w:val="single"/>
          <w:lang w:eastAsia="ru-RU"/>
        </w:rPr>
        <w:t>бұйрығымен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fldChar w:fldCharType="end"/>
      </w:r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 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бекітілген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(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Қазақстан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Республикасының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Әділет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министрлігінде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№ 26087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болып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тіркелген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)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Мүгедектерге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ұсынылатын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техникалық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көмекші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(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орнын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толтырушы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)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құралдардың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,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арнаулы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жүріп-тұру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құралдарының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және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көрсетілетін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қызметтердің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 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сыныптауышына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сәйкес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 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олардан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тауарлар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мен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көрсетілетін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қызметтерді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сатып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алу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кезінде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әлеуетті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өнім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берушілерге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қолданылмайды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.</w:t>
      </w:r>
    </w:p>
    <w:p w14:paraId="3E3A320E" w14:textId="77777777" w:rsidR="00F330C0" w:rsidRPr="00F330C0" w:rsidRDefault="00F330C0" w:rsidP="00F330C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330C0">
        <w:rPr>
          <w:rFonts w:ascii="Times New Roman" w:eastAsia="Times New Roman" w:hAnsi="Times New Roman" w:cs="Times New Roman"/>
          <w:color w:val="FF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      </w:t>
      </w:r>
      <w:proofErr w:type="spellStart"/>
      <w:r w:rsidRPr="00F330C0">
        <w:rPr>
          <w:rFonts w:ascii="Times New Roman" w:eastAsia="Times New Roman" w:hAnsi="Times New Roman" w:cs="Times New Roman"/>
          <w:color w:val="FF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Ескерту</w:t>
      </w:r>
      <w:proofErr w:type="spellEnd"/>
      <w:r w:rsidRPr="00F330C0">
        <w:rPr>
          <w:rFonts w:ascii="Times New Roman" w:eastAsia="Times New Roman" w:hAnsi="Times New Roman" w:cs="Times New Roman"/>
          <w:color w:val="FF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. 42-тармақ </w:t>
      </w:r>
      <w:proofErr w:type="spellStart"/>
      <w:r w:rsidRPr="00F330C0">
        <w:rPr>
          <w:rFonts w:ascii="Times New Roman" w:eastAsia="Times New Roman" w:hAnsi="Times New Roman" w:cs="Times New Roman"/>
          <w:color w:val="FF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жаңа</w:t>
      </w:r>
      <w:proofErr w:type="spellEnd"/>
      <w:r w:rsidRPr="00F330C0">
        <w:rPr>
          <w:rFonts w:ascii="Times New Roman" w:eastAsia="Times New Roman" w:hAnsi="Times New Roman" w:cs="Times New Roman"/>
          <w:color w:val="FF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FF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редакцияда</w:t>
      </w:r>
      <w:proofErr w:type="spellEnd"/>
      <w:r w:rsidRPr="00F330C0">
        <w:rPr>
          <w:rFonts w:ascii="Times New Roman" w:eastAsia="Times New Roman" w:hAnsi="Times New Roman" w:cs="Times New Roman"/>
          <w:color w:val="FF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- ҚР Премьер-</w:t>
      </w:r>
      <w:proofErr w:type="spellStart"/>
      <w:r w:rsidRPr="00F330C0">
        <w:rPr>
          <w:rFonts w:ascii="Times New Roman" w:eastAsia="Times New Roman" w:hAnsi="Times New Roman" w:cs="Times New Roman"/>
          <w:color w:val="FF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Министрінің</w:t>
      </w:r>
      <w:proofErr w:type="spellEnd"/>
      <w:r w:rsidRPr="00F330C0">
        <w:rPr>
          <w:rFonts w:ascii="Times New Roman" w:eastAsia="Times New Roman" w:hAnsi="Times New Roman" w:cs="Times New Roman"/>
          <w:color w:val="FF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FF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орынбасары</w:t>
      </w:r>
      <w:proofErr w:type="spellEnd"/>
      <w:r w:rsidRPr="00F330C0">
        <w:rPr>
          <w:rFonts w:ascii="Times New Roman" w:eastAsia="Times New Roman" w:hAnsi="Times New Roman" w:cs="Times New Roman"/>
          <w:color w:val="FF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- </w:t>
      </w:r>
      <w:proofErr w:type="spellStart"/>
      <w:r w:rsidRPr="00F330C0">
        <w:rPr>
          <w:rFonts w:ascii="Times New Roman" w:eastAsia="Times New Roman" w:hAnsi="Times New Roman" w:cs="Times New Roman"/>
          <w:color w:val="FF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Қаржы</w:t>
      </w:r>
      <w:proofErr w:type="spellEnd"/>
      <w:r w:rsidRPr="00F330C0">
        <w:rPr>
          <w:rFonts w:ascii="Times New Roman" w:eastAsia="Times New Roman" w:hAnsi="Times New Roman" w:cs="Times New Roman"/>
          <w:color w:val="FF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FF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министрінің</w:t>
      </w:r>
      <w:proofErr w:type="spellEnd"/>
      <w:r w:rsidRPr="00F330C0">
        <w:rPr>
          <w:rFonts w:ascii="Times New Roman" w:eastAsia="Times New Roman" w:hAnsi="Times New Roman" w:cs="Times New Roman"/>
          <w:color w:val="FF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09.06.2022 </w:t>
      </w:r>
      <w:hyperlink r:id="rId6" w:anchor="3" w:history="1">
        <w:r w:rsidRPr="00F330C0">
          <w:rPr>
            <w:rFonts w:ascii="Times New Roman" w:eastAsia="Times New Roman" w:hAnsi="Times New Roman" w:cs="Times New Roman"/>
            <w:color w:val="073A5E"/>
            <w:sz w:val="32"/>
            <w:szCs w:val="32"/>
            <w:u w:val="single"/>
            <w:bdr w:val="none" w:sz="0" w:space="0" w:color="auto" w:frame="1"/>
            <w:lang w:eastAsia="ru-RU"/>
          </w:rPr>
          <w:t>№ 570</w:t>
        </w:r>
      </w:hyperlink>
      <w:r w:rsidRPr="00F330C0">
        <w:rPr>
          <w:rFonts w:ascii="Times New Roman" w:eastAsia="Times New Roman" w:hAnsi="Times New Roman" w:cs="Times New Roman"/>
          <w:color w:val="FF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 (</w:t>
      </w:r>
      <w:proofErr w:type="spellStart"/>
      <w:r w:rsidRPr="00F330C0">
        <w:rPr>
          <w:rFonts w:ascii="Times New Roman" w:eastAsia="Times New Roman" w:hAnsi="Times New Roman" w:cs="Times New Roman"/>
          <w:color w:val="FF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алғашқы</w:t>
      </w:r>
      <w:proofErr w:type="spellEnd"/>
      <w:r w:rsidRPr="00F330C0">
        <w:rPr>
          <w:rFonts w:ascii="Times New Roman" w:eastAsia="Times New Roman" w:hAnsi="Times New Roman" w:cs="Times New Roman"/>
          <w:color w:val="FF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FF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ресми</w:t>
      </w:r>
      <w:proofErr w:type="spellEnd"/>
      <w:r w:rsidRPr="00F330C0">
        <w:rPr>
          <w:rFonts w:ascii="Times New Roman" w:eastAsia="Times New Roman" w:hAnsi="Times New Roman" w:cs="Times New Roman"/>
          <w:color w:val="FF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FF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жарияланған</w:t>
      </w:r>
      <w:proofErr w:type="spellEnd"/>
      <w:r w:rsidRPr="00F330C0">
        <w:rPr>
          <w:rFonts w:ascii="Times New Roman" w:eastAsia="Times New Roman" w:hAnsi="Times New Roman" w:cs="Times New Roman"/>
          <w:color w:val="FF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FF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күнінен</w:t>
      </w:r>
      <w:proofErr w:type="spellEnd"/>
      <w:r w:rsidRPr="00F330C0">
        <w:rPr>
          <w:rFonts w:ascii="Times New Roman" w:eastAsia="Times New Roman" w:hAnsi="Times New Roman" w:cs="Times New Roman"/>
          <w:color w:val="FF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FF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кейін</w:t>
      </w:r>
      <w:proofErr w:type="spellEnd"/>
      <w:r w:rsidRPr="00F330C0">
        <w:rPr>
          <w:rFonts w:ascii="Times New Roman" w:eastAsia="Times New Roman" w:hAnsi="Times New Roman" w:cs="Times New Roman"/>
          <w:color w:val="FF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он </w:t>
      </w:r>
      <w:proofErr w:type="spellStart"/>
      <w:r w:rsidRPr="00F330C0">
        <w:rPr>
          <w:rFonts w:ascii="Times New Roman" w:eastAsia="Times New Roman" w:hAnsi="Times New Roman" w:cs="Times New Roman"/>
          <w:color w:val="FF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күнтізбелік</w:t>
      </w:r>
      <w:proofErr w:type="spellEnd"/>
      <w:r w:rsidRPr="00F330C0">
        <w:rPr>
          <w:rFonts w:ascii="Times New Roman" w:eastAsia="Times New Roman" w:hAnsi="Times New Roman" w:cs="Times New Roman"/>
          <w:color w:val="FF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FF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күн</w:t>
      </w:r>
      <w:proofErr w:type="spellEnd"/>
      <w:r w:rsidRPr="00F330C0">
        <w:rPr>
          <w:rFonts w:ascii="Times New Roman" w:eastAsia="Times New Roman" w:hAnsi="Times New Roman" w:cs="Times New Roman"/>
          <w:color w:val="FF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FF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өткен</w:t>
      </w:r>
      <w:proofErr w:type="spellEnd"/>
      <w:r w:rsidRPr="00F330C0">
        <w:rPr>
          <w:rFonts w:ascii="Times New Roman" w:eastAsia="Times New Roman" w:hAnsi="Times New Roman" w:cs="Times New Roman"/>
          <w:color w:val="FF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FF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соң</w:t>
      </w:r>
      <w:proofErr w:type="spellEnd"/>
      <w:r w:rsidRPr="00F330C0">
        <w:rPr>
          <w:rFonts w:ascii="Times New Roman" w:eastAsia="Times New Roman" w:hAnsi="Times New Roman" w:cs="Times New Roman"/>
          <w:color w:val="FF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FF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қолданысқа</w:t>
      </w:r>
      <w:proofErr w:type="spellEnd"/>
      <w:r w:rsidRPr="00F330C0">
        <w:rPr>
          <w:rFonts w:ascii="Times New Roman" w:eastAsia="Times New Roman" w:hAnsi="Times New Roman" w:cs="Times New Roman"/>
          <w:color w:val="FF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FF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енгізіледі</w:t>
      </w:r>
      <w:proofErr w:type="spellEnd"/>
      <w:r w:rsidRPr="00F330C0">
        <w:rPr>
          <w:rFonts w:ascii="Times New Roman" w:eastAsia="Times New Roman" w:hAnsi="Times New Roman" w:cs="Times New Roman"/>
          <w:color w:val="FF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) </w:t>
      </w:r>
      <w:proofErr w:type="spellStart"/>
      <w:r w:rsidRPr="00F330C0">
        <w:rPr>
          <w:rFonts w:ascii="Times New Roman" w:eastAsia="Times New Roman" w:hAnsi="Times New Roman" w:cs="Times New Roman"/>
          <w:color w:val="FF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бұйрығымен</w:t>
      </w:r>
      <w:proofErr w:type="spellEnd"/>
      <w:r w:rsidRPr="00F330C0">
        <w:rPr>
          <w:rFonts w:ascii="Times New Roman" w:eastAsia="Times New Roman" w:hAnsi="Times New Roman" w:cs="Times New Roman"/>
          <w:color w:val="FF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.</w:t>
      </w:r>
      <w:r w:rsidRPr="00F330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14:paraId="599F0D57" w14:textId="628319DF" w:rsidR="00F330C0" w:rsidRPr="00F330C0" w:rsidRDefault="00F330C0" w:rsidP="00F330C0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</w:pPr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      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Әлеуетті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өнім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берушінің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қаржылық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орнықтылығын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мемлекеттік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кірістер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органдарының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мынадай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мәліметтері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негізінде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веб-портал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автоматты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түрде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айқындайды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:</w:t>
      </w:r>
    </w:p>
    <w:p w14:paraId="45CF9CAB" w14:textId="77777777" w:rsidR="00F330C0" w:rsidRPr="00F330C0" w:rsidRDefault="00F330C0" w:rsidP="00F330C0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</w:pPr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      1)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кірістер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;</w:t>
      </w:r>
    </w:p>
    <w:p w14:paraId="48BA32B3" w14:textId="77777777" w:rsidR="00F330C0" w:rsidRPr="00F330C0" w:rsidRDefault="00F330C0" w:rsidP="00F330C0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</w:pPr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      2)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төленген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салықтар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;</w:t>
      </w:r>
    </w:p>
    <w:p w14:paraId="2A37CA0E" w14:textId="77777777" w:rsidR="00F330C0" w:rsidRPr="00F330C0" w:rsidRDefault="00F330C0" w:rsidP="00F330C0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</w:pPr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      3)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негізгі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құралдар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;</w:t>
      </w:r>
    </w:p>
    <w:p w14:paraId="394F4A70" w14:textId="77777777" w:rsidR="00F330C0" w:rsidRPr="00F330C0" w:rsidRDefault="00F330C0" w:rsidP="00F330C0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</w:pPr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      4)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еңбек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ақы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төлеу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қоры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.</w:t>
      </w:r>
    </w:p>
    <w:p w14:paraId="31E76BE0" w14:textId="70DA26DD" w:rsidR="00F330C0" w:rsidRPr="00F330C0" w:rsidRDefault="00F330C0" w:rsidP="00F330C0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</w:pPr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lastRenderedPageBreak/>
        <w:t xml:space="preserve">      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Әлеуетті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өнім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беруші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,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егер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ол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жиынтығында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мынадай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шарттарға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сәйкес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келсе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,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қаржылық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орнықты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деп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танылады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:</w:t>
      </w:r>
    </w:p>
    <w:p w14:paraId="16224B44" w14:textId="77777777" w:rsidR="00F330C0" w:rsidRPr="00F330C0" w:rsidRDefault="00F330C0" w:rsidP="00F330C0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</w:pPr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      1)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әлеуетті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өнім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берушінің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кірістері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мемлекеттік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кірістер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органдарының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ақпараттық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жүйелерінің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деректеріне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сәйкес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өткен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жылдың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алдындағы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үш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жыл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ішінде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мемлекеттік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сатып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алуды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жүзеге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асыру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үшін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бөлінген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соманың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кемінде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екіден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бір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бөлігін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құрайды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;</w:t>
      </w:r>
    </w:p>
    <w:p w14:paraId="3CAE2FD8" w14:textId="77777777" w:rsidR="00F330C0" w:rsidRPr="00F330C0" w:rsidRDefault="00F330C0" w:rsidP="00F330C0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</w:pPr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      2)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төленген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салықтардың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көрсеткіші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мемлекеттік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кірістер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органдарының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ақпараттық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жүйелерінің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деректеріне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сәйкес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өткен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жылдың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алдындағы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үш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жыл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ішінде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әлеуетті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өнім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беруші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кірістерінің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кемінде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үш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пайызын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құрайды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.</w:t>
      </w:r>
    </w:p>
    <w:p w14:paraId="016E3788" w14:textId="77777777" w:rsidR="00F330C0" w:rsidRPr="00F330C0" w:rsidRDefault="00F330C0" w:rsidP="00F330C0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</w:pPr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      Осы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Қағидалардың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мақсаттары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үшін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төленген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салықтар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көрсеткішінің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есебі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мемлекеттік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кірістер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органдарының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ақпараттық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жүйелерінің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мәліметіне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сәйкес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мынадай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формула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бойынша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айқындалады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:</w:t>
      </w:r>
    </w:p>
    <w:p w14:paraId="7C550982" w14:textId="77777777" w:rsidR="00F330C0" w:rsidRPr="00F330C0" w:rsidRDefault="00F330C0" w:rsidP="00F330C0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</w:pPr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      ТСК = ТС / КС х 100%,</w:t>
      </w:r>
    </w:p>
    <w:p w14:paraId="655ACDC4" w14:textId="77777777" w:rsidR="00F330C0" w:rsidRPr="00F330C0" w:rsidRDefault="00F330C0" w:rsidP="00F330C0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</w:pPr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     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мұнда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:</w:t>
      </w:r>
    </w:p>
    <w:p w14:paraId="6794C239" w14:textId="77777777" w:rsidR="00F330C0" w:rsidRPr="00F330C0" w:rsidRDefault="00F330C0" w:rsidP="00F330C0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</w:pPr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      ТСК –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төленген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салықтардың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көрсеткіші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;</w:t>
      </w:r>
    </w:p>
    <w:p w14:paraId="50EC05BC" w14:textId="77777777" w:rsidR="00F330C0" w:rsidRPr="00F330C0" w:rsidRDefault="00F330C0" w:rsidP="00F330C0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</w:pPr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      ТС –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есептелетін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үш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жылдық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кезең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үшін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төленген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салықтарының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сомасы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;</w:t>
      </w:r>
    </w:p>
    <w:p w14:paraId="09A4CEE6" w14:textId="77777777" w:rsidR="00F330C0" w:rsidRPr="00F330C0" w:rsidRDefault="00F330C0" w:rsidP="00F330C0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</w:pPr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      КС -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есептелетін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үш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жылдық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кезең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үшін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әлеуетті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өнім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берушінің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кіріс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сомасы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;</w:t>
      </w:r>
    </w:p>
    <w:p w14:paraId="17BA9C4C" w14:textId="2EC50CCF" w:rsidR="008B6421" w:rsidRPr="00F330C0" w:rsidRDefault="00F330C0" w:rsidP="00F330C0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kk-KZ" w:eastAsia="ru-RU"/>
        </w:rPr>
      </w:pPr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      3)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әлеуетті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өнім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берушінің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негізгі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құралдарының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құны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мемлекеттік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кірістер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органдарының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ақпараттық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жүйелерінің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деректеріне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сәйкес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өткен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жылдың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алдындағы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үш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жыл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ішінде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мемлекеттік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сатып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алуды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жүзеге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асыру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үшін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бөлінген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соманың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кемінде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он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бестен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бір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бөлігін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құрайды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,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бірақ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тиісті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қаржы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жылына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бекітілген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айлық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есептік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көрсеткіштің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төрт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жүз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мың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еселенген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мөлшерінен</w:t>
      </w:r>
      <w:proofErr w:type="spellEnd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F330C0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аспайд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kk-KZ" w:eastAsia="ru-RU"/>
        </w:rPr>
        <w:t>ы</w:t>
      </w:r>
    </w:p>
    <w:p w14:paraId="6D0ADAC3" w14:textId="77777777" w:rsidR="008B6421" w:rsidRDefault="008B6421" w:rsidP="008B6421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4774BCC" w14:textId="77777777" w:rsidR="008B6421" w:rsidRDefault="008B6421" w:rsidP="008B6421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FA3ACBE" w14:textId="77777777" w:rsidR="008B6421" w:rsidRDefault="008B6421" w:rsidP="008B6421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31909D3" w14:textId="77777777" w:rsidR="00B61E8A" w:rsidRDefault="00B61E8A" w:rsidP="00B61E8A">
      <w:pPr>
        <w:tabs>
          <w:tab w:val="left" w:pos="900"/>
        </w:tabs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Негізгі    әдебиеттер:</w:t>
      </w:r>
    </w:p>
    <w:p w14:paraId="029AD0FA" w14:textId="77777777" w:rsidR="00B61E8A" w:rsidRDefault="00B61E8A" w:rsidP="00B61E8A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14:paraId="084FBAD3" w14:textId="77777777" w:rsidR="00B61E8A" w:rsidRDefault="00B61E8A" w:rsidP="00B61E8A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Қасым-Жомарт Тоқаев 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Жаңа  Қазақстан жаңару мен жаңғыру жолы -Нұр-Сұлтан, 2022 ж. 16 наурыз</w:t>
      </w:r>
    </w:p>
    <w:p w14:paraId="75BEE660" w14:textId="77777777" w:rsidR="00B61E8A" w:rsidRDefault="00B61E8A" w:rsidP="00B61E8A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3798EAC6" w14:textId="77777777" w:rsidR="00B61E8A" w:rsidRDefault="00B61E8A" w:rsidP="00B61E8A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  <w:lang w:val="kk-KZ"/>
        </w:rPr>
      </w:pP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Қазақстан Республикасы Үкіметінің 2018 жылғы 20 желтоқсандағы № 846 қаулысы. </w:t>
      </w:r>
      <w:hyperlink r:id="rId7" w:history="1">
        <w:r>
          <w:rPr>
            <w:rStyle w:val="af4"/>
            <w:rFonts w:ascii="Times New Roman" w:eastAsia="Times New Roman" w:hAnsi="Times New Roman" w:cs="Times New Roman"/>
            <w:color w:val="000000" w:themeColor="text1"/>
            <w:spacing w:val="2"/>
            <w:sz w:val="20"/>
            <w:szCs w:val="20"/>
            <w:lang w:val="kk-KZ" w:eastAsia="kk-KZ"/>
          </w:rPr>
          <w:t>www.adilet.zan.kz</w:t>
        </w:r>
      </w:hyperlink>
    </w:p>
    <w:p w14:paraId="00738CDE" w14:textId="77777777" w:rsidR="00B61E8A" w:rsidRDefault="00B61E8A" w:rsidP="00B61E8A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Theme="minorEastAsia" w:hAnsi="Times New Roman" w:cs="Times New Roman"/>
          <w:color w:val="000000" w:themeColor="text1"/>
          <w:sz w:val="20"/>
          <w:szCs w:val="20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Республикасының тұрақты дамуының 2007-2024 жж. арналған тұжырымдамасы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 Үкіметінің 2018 жылғы 14 қараша № 216 Жарлығы</w:t>
      </w:r>
    </w:p>
    <w:p w14:paraId="6BEFD971" w14:textId="77777777" w:rsidR="00B61E8A" w:rsidRDefault="00B61E8A" w:rsidP="00B61E8A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6B75B81D" w14:textId="77777777" w:rsidR="00B61E8A" w:rsidRDefault="00B61E8A" w:rsidP="00B61E8A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Мемлекеттік қызмет туралы Заңы//Қазақстан Республикасы Президентінің 2015 жылғы 23қарашадағы  №416 -V ҚРЗ</w:t>
      </w:r>
    </w:p>
    <w:p w14:paraId="1E2523DA" w14:textId="77777777" w:rsidR="00B61E8A" w:rsidRDefault="00B61E8A" w:rsidP="00B61E8A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Республикасының сыбайлас жемқорлыққа қарсы саясатының 2022-2026 жылдарға арналған тұжыры                                       мдамасы// ҚР Президентінің 2022 жылғы 2 ақпандағы №802 Жарлығы</w:t>
      </w:r>
    </w:p>
    <w:p w14:paraId="11DD2AA7" w14:textId="77777777" w:rsidR="00B61E8A" w:rsidRDefault="00B61E8A" w:rsidP="00B61E8A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Мемлекеттік сатып алуды жүзеге  асыру қағидалары// ҚР Қаржы министрлігінің 2015 жылғы 11 желтоқсандағы №648 бұйрығы   </w:t>
      </w:r>
    </w:p>
    <w:p w14:paraId="6CBA14F1" w14:textId="77777777" w:rsidR="00B61E8A" w:rsidRDefault="00B61E8A" w:rsidP="00B61E8A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Мемлекеттік сатып алу туралы ҚР заңы// ҚР  Заңы 2015 жылғы 4 желтоқсан №434</w:t>
      </w:r>
    </w:p>
    <w:p w14:paraId="39C25E4F" w14:textId="77777777" w:rsidR="00B61E8A" w:rsidRDefault="00B61E8A" w:rsidP="00B61E8A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10.Жатканбаев Е.Б. Государственное регулирование экономики: курс лекций. – Алматы: Қазақ университеті, 2021 – 206 с.</w:t>
      </w:r>
    </w:p>
    <w:p w14:paraId="70A8C0CE" w14:textId="77777777" w:rsidR="00B61E8A" w:rsidRDefault="00B61E8A" w:rsidP="00B61E8A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11.Жолдыбалина А.С. Сараптамалық талдау орталықтары: заманауи саясат сардарлары-Нұр-Сұлтан, 2019-248 б</w:t>
      </w:r>
    </w:p>
    <w:p w14:paraId="14F9A350" w14:textId="77777777" w:rsidR="00B61E8A" w:rsidRDefault="00B61E8A" w:rsidP="00B61E8A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12. Анастасия Дегтеревская Госзакупки тендеры – М.: ЛитРес, 2021-270 с.</w:t>
      </w:r>
    </w:p>
    <w:p w14:paraId="47FAECEF" w14:textId="77777777" w:rsidR="00B61E8A" w:rsidRDefault="00B61E8A" w:rsidP="00B61E8A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13. Вовченко Н.Г., Паршина Е.А., Отришко М.О. Государственные закупки: финансово-правовой анализ-М.: ЛитРес, 2019-123 с.</w:t>
      </w:r>
    </w:p>
    <w:p w14:paraId="0060617F" w14:textId="77777777" w:rsidR="00B61E8A" w:rsidRDefault="00B61E8A" w:rsidP="00B61E8A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14. Гладилина И.П., Ахмедова О.А. Совершенствование управления закупочной деятельностью в условиях цифровой экономики- М.: КноРус, 2020-75 с.</w:t>
      </w:r>
    </w:p>
    <w:p w14:paraId="0C89025B" w14:textId="77777777" w:rsidR="00B61E8A" w:rsidRDefault="00B61E8A" w:rsidP="00B61E8A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15. Гладилина И.П., Кадыров Н.Н. Современная модель каталогизации обьектов закупочной деятельности государственных и муниципиальных заказчиков -М.: ЛитРес, 2020-115 с.</w:t>
      </w:r>
    </w:p>
    <w:p w14:paraId="7F2C1FE4" w14:textId="77777777" w:rsidR="00B61E8A" w:rsidRDefault="00B61E8A" w:rsidP="00B61E8A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16. Гладилина И.П. Современные стратегии управления закупками. Проблемы и перспективы-М.: ЛитРес, 2021-111 с.</w:t>
      </w:r>
    </w:p>
    <w:p w14:paraId="5AD07D4E" w14:textId="77777777" w:rsidR="00B61E8A" w:rsidRDefault="00B61E8A" w:rsidP="00B61E8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 xml:space="preserve">17. </w:t>
      </w:r>
      <w:r>
        <w:rPr>
          <w:rFonts w:ascii="Times New Roman" w:hAnsi="Times New Roman" w:cs="Times New Roman"/>
          <w:sz w:val="20"/>
          <w:szCs w:val="20"/>
          <w:lang w:val="kk-KZ"/>
        </w:rPr>
        <w:t>Максимов А.Г., Еремина А.В., Зороастрова И.В.</w:t>
      </w:r>
      <w:r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 xml:space="preserve"> Эмпирический анализ степеи воздействия особенностей муниципиальных закупок на их исходы-М.: ЛитРес, 2018-18 с.</w:t>
      </w:r>
    </w:p>
    <w:p w14:paraId="0B640443" w14:textId="77777777" w:rsidR="00B61E8A" w:rsidRDefault="00B61E8A" w:rsidP="00B61E8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>18. Масленников В.В., Ляндау Ю.В., Калинина И.А. Методические рекомендации Ценообразование в системе закупок для государственных, муниципиальных и корпоративных нужд -М.: ЛитРес, 2018-126 с.</w:t>
      </w:r>
    </w:p>
    <w:p w14:paraId="17043989" w14:textId="77777777" w:rsidR="00B61E8A" w:rsidRDefault="00B61E8A" w:rsidP="00B61E8A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19. Шмелева М.В. Система государственных закпок: методология и реализация-М.: Юстицинформ, 2021-906 с.</w:t>
      </w:r>
    </w:p>
    <w:p w14:paraId="18200348" w14:textId="77777777" w:rsidR="00B61E8A" w:rsidRDefault="00B61E8A" w:rsidP="00B61E8A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20. Федорова И.Ю. Государственные и муниципиальные закупки как инструмент повышения эффективности расходов бюджетов- М.: Дашков и К, 2021-243 с.</w:t>
      </w:r>
    </w:p>
    <w:p w14:paraId="1F2A91B6" w14:textId="77777777" w:rsidR="00B61E8A" w:rsidRDefault="00B61E8A" w:rsidP="00B61E8A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21. Федорова И Ю., Фрыгин А.В., Седова М.В. Контрактная система: развитие финансового механизма государственных и муниципиальных закупок-М.: ЛитРес, 2021-227 с.</w:t>
      </w:r>
    </w:p>
    <w:p w14:paraId="3F24C191" w14:textId="77777777" w:rsidR="00B61E8A" w:rsidRDefault="00B61E8A" w:rsidP="00B61E8A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</w:p>
    <w:p w14:paraId="0022B856" w14:textId="77777777" w:rsidR="00B61E8A" w:rsidRDefault="00B61E8A" w:rsidP="00B61E8A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0"/>
          <w:szCs w:val="20"/>
          <w:lang w:val="kk-KZ" w:eastAsia="ru-RU"/>
        </w:rPr>
        <w:t>Ғаламтор ресурстары:</w:t>
      </w:r>
    </w:p>
    <w:p w14:paraId="4F067ADB" w14:textId="77777777" w:rsidR="00B61E8A" w:rsidRDefault="00F330C0" w:rsidP="00B61E8A">
      <w:pPr>
        <w:spacing w:after="0" w:line="240" w:lineRule="auto"/>
        <w:rPr>
          <w:rStyle w:val="af4"/>
          <w:color w:val="auto"/>
          <w:u w:val="none"/>
          <w:shd w:val="clear" w:color="auto" w:fill="FFFFFF"/>
        </w:rPr>
      </w:pPr>
      <w:hyperlink r:id="rId8" w:history="1">
        <w:r w:rsidR="00B61E8A">
          <w:rPr>
            <w:rStyle w:val="af4"/>
            <w:rFonts w:ascii="Times New Roman" w:eastAsia="Times New Roman" w:hAnsi="Times New Roman" w:cs="Times New Roman"/>
            <w:color w:val="auto"/>
            <w:sz w:val="20"/>
            <w:szCs w:val="20"/>
            <w:shd w:val="clear" w:color="auto" w:fill="FFFFFF"/>
            <w:lang w:val="kk-KZ" w:eastAsia="ru-RU"/>
          </w:rPr>
          <w:t xml:space="preserve">1. https://www.referat911.ru ›       </w:t>
        </w:r>
      </w:hyperlink>
    </w:p>
    <w:p w14:paraId="46A40591" w14:textId="77777777" w:rsidR="00B61E8A" w:rsidRDefault="00B61E8A" w:rsidP="00B61E8A">
      <w:pPr>
        <w:spacing w:after="0" w:line="240" w:lineRule="auto"/>
        <w:rPr>
          <w:color w:val="000000" w:themeColor="text1"/>
        </w:rPr>
      </w:pPr>
      <w:r>
        <w:rPr>
          <w:rFonts w:ascii="Times New Roman" w:eastAsia="Times New Roman" w:hAnsi="Times New Roman" w:cs="Times New Roman"/>
          <w:color w:val="1A0DAB"/>
          <w:sz w:val="20"/>
          <w:szCs w:val="20"/>
          <w:u w:val="single"/>
          <w:shd w:val="clear" w:color="auto" w:fill="FFFFFF"/>
          <w:lang w:val="kk-KZ" w:eastAsia="ru-RU"/>
        </w:rPr>
        <w:t xml:space="preserve">2. </w:t>
      </w:r>
      <w:hyperlink r:id="rId9" w:history="1">
        <w:r>
          <w:rPr>
            <w:rStyle w:val="af4"/>
            <w:rFonts w:ascii="Times New Roman" w:eastAsia="Times New Roman" w:hAnsi="Times New Roman" w:cs="Times New Roman"/>
            <w:color w:val="auto"/>
            <w:sz w:val="20"/>
            <w:szCs w:val="20"/>
            <w:shd w:val="clear" w:color="auto" w:fill="FFFFFF"/>
            <w:lang w:val="kk-KZ" w:eastAsia="ru-RU"/>
          </w:rPr>
          <w:t>https://www.goszakup.gov.kz/</w:t>
        </w:r>
      </w:hyperlink>
    </w:p>
    <w:p w14:paraId="1D766405" w14:textId="77777777" w:rsidR="00B61E8A" w:rsidRDefault="00B61E8A" w:rsidP="00B61E8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 w:eastAsia="ru-RU"/>
        </w:rPr>
        <w:t>3.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hyperlink r:id="rId10" w:history="1">
        <w:r>
          <w:rPr>
            <w:rStyle w:val="af4"/>
            <w:rFonts w:ascii="Times New Roman" w:hAnsi="Times New Roman" w:cs="Times New Roman"/>
            <w:color w:val="auto"/>
            <w:sz w:val="20"/>
            <w:szCs w:val="20"/>
            <w:lang w:val="kk-KZ"/>
          </w:rPr>
          <w:t>https://www.bicotender.ru/tender204606355.html</w:t>
        </w:r>
      </w:hyperlink>
    </w:p>
    <w:p w14:paraId="61E7CD36" w14:textId="77777777" w:rsidR="00B61E8A" w:rsidRDefault="00B61E8A" w:rsidP="00B61E8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 https://gz.mcfr.kz/news/3476-gosudarstvennye-zakupki-v-2022-godu-ojidaemye-izmeneniya-v-2023-godu</w:t>
      </w:r>
    </w:p>
    <w:p w14:paraId="147E13BA" w14:textId="77777777" w:rsidR="00F12C76" w:rsidRPr="00B61E8A" w:rsidRDefault="00F12C76" w:rsidP="006C0B77">
      <w:pPr>
        <w:spacing w:after="0"/>
        <w:ind w:firstLine="709"/>
        <w:jc w:val="both"/>
        <w:rPr>
          <w:lang w:val="kk-KZ"/>
        </w:rPr>
      </w:pPr>
    </w:p>
    <w:sectPr w:rsidR="00F12C76" w:rsidRPr="00B61E8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9DA200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54701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972"/>
    <w:rsid w:val="006233FA"/>
    <w:rsid w:val="006C0B77"/>
    <w:rsid w:val="006F1C33"/>
    <w:rsid w:val="008242FF"/>
    <w:rsid w:val="00870751"/>
    <w:rsid w:val="008B6421"/>
    <w:rsid w:val="00922C48"/>
    <w:rsid w:val="00B61E8A"/>
    <w:rsid w:val="00B915B7"/>
    <w:rsid w:val="00C75972"/>
    <w:rsid w:val="00EA59DF"/>
    <w:rsid w:val="00EE4070"/>
    <w:rsid w:val="00F12C76"/>
    <w:rsid w:val="00F3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49221"/>
  <w15:chartTrackingRefBased/>
  <w15:docId w15:val="{44C654CB-7DE3-4671-9949-CB165ABFF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6421"/>
    <w:pPr>
      <w:spacing w:after="160" w:line="254" w:lineRule="auto"/>
    </w:pPr>
  </w:style>
  <w:style w:type="paragraph" w:styleId="1">
    <w:name w:val="heading 1"/>
    <w:basedOn w:val="a"/>
    <w:next w:val="a"/>
    <w:link w:val="10"/>
    <w:uiPriority w:val="9"/>
    <w:qFormat/>
    <w:rsid w:val="006F1C33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6F1C3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C3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F1C3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F1C33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F1C3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F1C3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1C3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1C3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6F1C3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6F1C3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6F1C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a5">
    <w:name w:val="Заголовок Знак"/>
    <w:basedOn w:val="a0"/>
    <w:link w:val="a4"/>
    <w:uiPriority w:val="10"/>
    <w:rsid w:val="006F1C33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6F1C3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6F1C3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6F1C33"/>
    <w:rPr>
      <w:b/>
      <w:bCs/>
    </w:rPr>
  </w:style>
  <w:style w:type="character" w:styleId="a9">
    <w:name w:val="Emphasis"/>
    <w:basedOn w:val="a0"/>
    <w:uiPriority w:val="20"/>
    <w:qFormat/>
    <w:rsid w:val="006F1C33"/>
    <w:rPr>
      <w:i/>
      <w:iCs/>
    </w:rPr>
  </w:style>
  <w:style w:type="paragraph" w:styleId="aa">
    <w:name w:val="No Spacing"/>
    <w:uiPriority w:val="1"/>
    <w:qFormat/>
    <w:rsid w:val="006F1C33"/>
  </w:style>
  <w:style w:type="paragraph" w:styleId="ab">
    <w:name w:val="List Paragraph"/>
    <w:basedOn w:val="a"/>
    <w:uiPriority w:val="34"/>
    <w:qFormat/>
    <w:rsid w:val="006F1C33"/>
    <w:pPr>
      <w:spacing w:line="259" w:lineRule="auto"/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F1C3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F1C33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6F1C33"/>
    <w:pPr>
      <w:spacing w:before="100" w:beforeAutospacing="1" w:after="240" w:line="259" w:lineRule="auto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ad">
    <w:name w:val="Выделенная цитата Знак"/>
    <w:basedOn w:val="a0"/>
    <w:link w:val="ac"/>
    <w:uiPriority w:val="30"/>
    <w:rsid w:val="006F1C3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e">
    <w:name w:val="Subtle Emphasis"/>
    <w:basedOn w:val="a0"/>
    <w:uiPriority w:val="19"/>
    <w:qFormat/>
    <w:rsid w:val="006F1C33"/>
    <w:rPr>
      <w:i/>
      <w:iCs/>
      <w:color w:val="595959" w:themeColor="text1" w:themeTint="A6"/>
    </w:rPr>
  </w:style>
  <w:style w:type="character" w:styleId="af">
    <w:name w:val="Intense Emphasis"/>
    <w:basedOn w:val="a0"/>
    <w:uiPriority w:val="21"/>
    <w:qFormat/>
    <w:rsid w:val="006F1C33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6F1C33"/>
    <w:rPr>
      <w:smallCaps/>
      <w:color w:val="404040" w:themeColor="text1" w:themeTint="BF"/>
    </w:rPr>
  </w:style>
  <w:style w:type="character" w:styleId="af1">
    <w:name w:val="Intense Reference"/>
    <w:basedOn w:val="a0"/>
    <w:uiPriority w:val="32"/>
    <w:qFormat/>
    <w:rsid w:val="006F1C33"/>
    <w:rPr>
      <w:b/>
      <w:bCs/>
      <w:smallCaps/>
      <w:u w:val="single"/>
    </w:rPr>
  </w:style>
  <w:style w:type="character" w:styleId="af2">
    <w:name w:val="Book Title"/>
    <w:basedOn w:val="a0"/>
    <w:uiPriority w:val="33"/>
    <w:qFormat/>
    <w:rsid w:val="006F1C33"/>
    <w:rPr>
      <w:b/>
      <w:bCs/>
      <w:smallCaps/>
    </w:rPr>
  </w:style>
  <w:style w:type="paragraph" w:styleId="af3">
    <w:name w:val="TOC Heading"/>
    <w:basedOn w:val="1"/>
    <w:next w:val="a"/>
    <w:uiPriority w:val="39"/>
    <w:semiHidden/>
    <w:unhideWhenUsed/>
    <w:qFormat/>
    <w:rsid w:val="006F1C33"/>
    <w:pPr>
      <w:outlineLvl w:val="9"/>
    </w:pPr>
  </w:style>
  <w:style w:type="character" w:styleId="af4">
    <w:name w:val="Hyperlink"/>
    <w:basedOn w:val="a0"/>
    <w:uiPriority w:val="99"/>
    <w:semiHidden/>
    <w:unhideWhenUsed/>
    <w:rsid w:val="00B61E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2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&#1052;&#1077;&#1084;&#1083;%20&#1089;&#1072;&#1090;\1.%20https:\www.referat911.ru&#160;&#8250;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dilet.zan.kz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kaz/docs/V2200028417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adilet.zan.kz/kaz/docs/Z1500000434" TargetMode="External"/><Relationship Id="rId10" Type="http://schemas.openxmlformats.org/officeDocument/2006/relationships/hyperlink" Target="https://www.bicotender.ru/tender204606355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szakup.gov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1656</Words>
  <Characters>9440</Characters>
  <Application>Microsoft Office Word</Application>
  <DocSecurity>0</DocSecurity>
  <Lines>78</Lines>
  <Paragraphs>22</Paragraphs>
  <ScaleCrop>false</ScaleCrop>
  <Company/>
  <LinksUpToDate>false</LinksUpToDate>
  <CharactersWithSpaces>11074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5</cp:revision>
  <dcterms:created xsi:type="dcterms:W3CDTF">2022-06-29T03:24:00Z</dcterms:created>
  <dcterms:modified xsi:type="dcterms:W3CDTF">2022-06-30T07:24:00Z</dcterms:modified>
</cp:coreProperties>
</file>